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eastAsia="黑体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snapToGrid w:val="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ascii="仿宋_GB2312" w:eastAsia="仿宋_GB2312"/>
          <w:snapToGrid w:val="0"/>
          <w:spacing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GB"/>
        </w:rPr>
        <w:t>关于本科生国家奖学金评选标准的详细说明</w:t>
      </w:r>
    </w:p>
    <w:bookmarkEnd w:id="0"/>
    <w:p>
      <w:pPr>
        <w:adjustRightInd w:val="0"/>
        <w:snapToGrid w:val="0"/>
        <w:spacing w:line="500" w:lineRule="exact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按照教育部《学生资助资金管理办法》（财教〔2021〕310号）和《中国矿业大学（北京）本科生国家奖学金实施细则》等要求，现将本科生国家奖学金评审标准说明如下：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一、一年级学生不具备申请资格，各学院不得推荐、报送一年级学生申请国家奖学金。特殊学制的学生，根据当年所修课程层次确定参与相应学段的国家奖学金评定，原则上从入学第6年开始不再具备本科生国家奖学金申请资格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二、学习成绩排名和综合测评成绩排名均位于前10%（含10%）的学生，可以申请本科生国家奖学金。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三、符合我校本科生国家奖学金评定条件第1至4条者，如果学习成绩排名或综合测评成绩排名没有进入前10%，但达到前30%（含30%）的学生，如在其他方面表现非常突出，也可申请本科生国家奖学金，但需提交详细的证明材料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在其他方面表现非常突出是指在道德风尚、学术研究、学科竞赛、创新发明、社会实践、社会工作、体育竞赛、艺术展演等某一方面表现特别优秀。具体是指：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（一）在社会主义精神文明建设中表现突出，具有见义勇为、助人为乐、奉献爱心、服务社会、自立自强的实际行动，在本校、本地区产生重大影响，在全国产生较大影响，有助于树立良好的社会风尚。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（二）在学术研究上取得显著成绩，以第一作者发表的通过专家鉴定的高水平论文，以第一、二作者出版的通过专家鉴定的学术专著。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（三）在学科竞赛方面取得显著成绩，在国际和全国性专业学科竞赛、课外学术科技竞赛、中国“互联网+”大学生创新创业大赛等竞赛中获一等奖（或金奖）及以上奖励。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（四）在创新发明方面取得显著成绩，科研成果获省、部级以上奖励或获得通过专家鉴定的国家专利（不包括实用新型专利、外观设计专利）。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五）在体育竞赛中取得显著成绩，为国家争得荣誉。非体育专业学生参加省级以上体育比赛获得个人项目前三名，集体项目前二名；高水平运动员参加国际和全国性体育比赛获得个人项目前三名、集体项目前二名。集体项目应为上场主力队员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（六）在艺术展演方面取得显著成绩，参加全国大学生艺术展演获得一、二等奖，参加省级艺术展演获得一等奖；艺术类专业学生参加国际和全国性比赛获得前三名。集体项目应为主要演员。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（七）获全国十大杰出青年、中国青年五四奖章、中国大学生年度人物等全国性荣誉称号。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napToGrid w:val="0"/>
          <w:spacing w:val="0"/>
          <w:kern w:val="0"/>
          <w:sz w:val="32"/>
          <w:szCs w:val="32"/>
        </w:rPr>
        <w:t>（八）其他应当认定为表现非常突出的情形。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WM4YzEyNjY1Mjk4MGJhNmUwYWU0MjM3MWRhZmYifQ=="/>
  </w:docVars>
  <w:rsids>
    <w:rsidRoot w:val="5BEA087B"/>
    <w:rsid w:val="5BE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2023-09-20T02:55:00Z</dcterms:created>
  <dc:creator>汽水熊不睡觉</dc:creator>
  <cp:lastModifiedBy>汽水熊不睡觉</cp:lastModifiedBy>
  <dcterms:modified xsi:type="dcterms:W3CDTF">2023-09-20T02:55:24Z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B5F9F26967C74BDCBD8F8C0EF4970AC0_11</vt:lpwstr>
  </property>
</Properties>
</file>